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99" w:rsidRDefault="00781B99" w:rsidP="00524F69">
      <w:pPr>
        <w:widowControl w:val="0"/>
        <w:autoSpaceDE w:val="0"/>
        <w:autoSpaceDN w:val="0"/>
        <w:adjustRightInd w:val="0"/>
        <w:spacing w:after="0" w:line="240" w:lineRule="auto"/>
        <w:ind w:left="101" w:right="58"/>
        <w:jc w:val="center"/>
        <w:rPr>
          <w:rFonts w:ascii="Times New Roman" w:hAnsi="Times New Roman"/>
          <w:b/>
          <w:color w:val="000000"/>
          <w:sz w:val="32"/>
          <w:szCs w:val="32"/>
        </w:rPr>
      </w:pPr>
      <w:bookmarkStart w:id="0" w:name="_GoBack"/>
      <w:bookmarkEnd w:id="0"/>
      <w:r>
        <w:rPr>
          <w:rFonts w:ascii="Californian FB" w:hAnsi="Californian FB"/>
          <w:noProof/>
        </w:rPr>
        <w:drawing>
          <wp:inline distT="0" distB="0" distL="0" distR="0">
            <wp:extent cx="4580890" cy="1216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0890" cy="1216025"/>
                    </a:xfrm>
                    <a:prstGeom prst="rect">
                      <a:avLst/>
                    </a:prstGeom>
                    <a:noFill/>
                    <a:ln>
                      <a:noFill/>
                    </a:ln>
                  </pic:spPr>
                </pic:pic>
              </a:graphicData>
            </a:graphic>
          </wp:inline>
        </w:drawing>
      </w:r>
    </w:p>
    <w:p w:rsidR="00781B99" w:rsidRDefault="00781B99" w:rsidP="00524F69">
      <w:pPr>
        <w:widowControl w:val="0"/>
        <w:autoSpaceDE w:val="0"/>
        <w:autoSpaceDN w:val="0"/>
        <w:adjustRightInd w:val="0"/>
        <w:spacing w:after="0" w:line="240" w:lineRule="auto"/>
        <w:ind w:left="101" w:right="58"/>
        <w:jc w:val="center"/>
        <w:rPr>
          <w:rFonts w:ascii="Times New Roman" w:hAnsi="Times New Roman"/>
          <w:b/>
          <w:color w:val="000000"/>
          <w:sz w:val="32"/>
          <w:szCs w:val="32"/>
        </w:rPr>
      </w:pPr>
    </w:p>
    <w:p w:rsidR="00524F69" w:rsidRDefault="00524F69" w:rsidP="00524F69">
      <w:pPr>
        <w:widowControl w:val="0"/>
        <w:autoSpaceDE w:val="0"/>
        <w:autoSpaceDN w:val="0"/>
        <w:adjustRightInd w:val="0"/>
        <w:spacing w:after="0" w:line="240" w:lineRule="auto"/>
        <w:ind w:left="101" w:right="58"/>
        <w:jc w:val="center"/>
        <w:rPr>
          <w:rFonts w:ascii="Times New Roman" w:hAnsi="Times New Roman"/>
          <w:b/>
          <w:bCs/>
          <w:color w:val="000000"/>
          <w:spacing w:val="-1"/>
          <w:sz w:val="32"/>
          <w:szCs w:val="32"/>
        </w:rPr>
      </w:pPr>
      <w:r>
        <w:rPr>
          <w:rFonts w:ascii="Times New Roman" w:hAnsi="Times New Roman"/>
          <w:b/>
          <w:color w:val="000000"/>
          <w:sz w:val="32"/>
          <w:szCs w:val="32"/>
        </w:rPr>
        <w:t>OPPOSE A</w:t>
      </w:r>
      <w:r>
        <w:rPr>
          <w:rFonts w:ascii="Times New Roman" w:hAnsi="Times New Roman"/>
          <w:b/>
          <w:bCs/>
          <w:color w:val="000000"/>
          <w:spacing w:val="-1"/>
          <w:sz w:val="32"/>
          <w:szCs w:val="32"/>
        </w:rPr>
        <w:t xml:space="preserve"> </w:t>
      </w:r>
      <w:r>
        <w:rPr>
          <w:rFonts w:ascii="Times New Roman" w:hAnsi="Times New Roman"/>
          <w:b/>
          <w:bCs/>
          <w:color w:val="000000"/>
          <w:sz w:val="32"/>
          <w:szCs w:val="32"/>
        </w:rPr>
        <w:t>“S</w:t>
      </w:r>
      <w:r>
        <w:rPr>
          <w:rFonts w:ascii="Times New Roman" w:hAnsi="Times New Roman"/>
          <w:b/>
          <w:bCs/>
          <w:color w:val="000000"/>
          <w:spacing w:val="-2"/>
          <w:sz w:val="32"/>
          <w:szCs w:val="32"/>
        </w:rPr>
        <w:t>I</w:t>
      </w:r>
      <w:r>
        <w:rPr>
          <w:rFonts w:ascii="Times New Roman" w:hAnsi="Times New Roman"/>
          <w:b/>
          <w:bCs/>
          <w:color w:val="000000"/>
          <w:spacing w:val="-1"/>
          <w:sz w:val="32"/>
          <w:szCs w:val="32"/>
        </w:rPr>
        <w:t>C</w:t>
      </w:r>
      <w:r>
        <w:rPr>
          <w:rFonts w:ascii="Times New Roman" w:hAnsi="Times New Roman"/>
          <w:b/>
          <w:bCs/>
          <w:color w:val="000000"/>
          <w:sz w:val="32"/>
          <w:szCs w:val="32"/>
        </w:rPr>
        <w:t>K</w:t>
      </w:r>
      <w:r>
        <w:rPr>
          <w:rFonts w:ascii="Times New Roman" w:hAnsi="Times New Roman"/>
          <w:b/>
          <w:bCs/>
          <w:color w:val="000000"/>
          <w:spacing w:val="-1"/>
          <w:sz w:val="32"/>
          <w:szCs w:val="32"/>
        </w:rPr>
        <w:t xml:space="preserve"> </w:t>
      </w:r>
      <w:r>
        <w:rPr>
          <w:rFonts w:ascii="Times New Roman" w:hAnsi="Times New Roman"/>
          <w:b/>
          <w:bCs/>
          <w:color w:val="000000"/>
          <w:sz w:val="32"/>
          <w:szCs w:val="32"/>
        </w:rPr>
        <w:t>TAX”</w:t>
      </w:r>
      <w:r>
        <w:rPr>
          <w:rFonts w:ascii="Times New Roman" w:hAnsi="Times New Roman"/>
          <w:b/>
          <w:bCs/>
          <w:color w:val="000000"/>
          <w:spacing w:val="-1"/>
          <w:sz w:val="32"/>
          <w:szCs w:val="32"/>
        </w:rPr>
        <w:t>—BLOCK</w:t>
      </w:r>
      <w:r>
        <w:rPr>
          <w:rFonts w:ascii="Times New Roman" w:hAnsi="Times New Roman"/>
          <w:b/>
          <w:bCs/>
          <w:color w:val="000000"/>
          <w:spacing w:val="-2"/>
          <w:sz w:val="32"/>
          <w:szCs w:val="32"/>
        </w:rPr>
        <w:t xml:space="preserve"> </w:t>
      </w:r>
      <w:r>
        <w:rPr>
          <w:rFonts w:ascii="Times New Roman" w:hAnsi="Times New Roman"/>
          <w:b/>
          <w:bCs/>
          <w:color w:val="000000"/>
          <w:sz w:val="32"/>
          <w:szCs w:val="32"/>
        </w:rPr>
        <w:t>EFFORTS TO IMPOSE</w:t>
      </w:r>
      <w:r>
        <w:rPr>
          <w:rFonts w:ascii="Times New Roman" w:hAnsi="Times New Roman"/>
          <w:b/>
          <w:bCs/>
          <w:color w:val="000000"/>
          <w:spacing w:val="-1"/>
          <w:sz w:val="32"/>
          <w:szCs w:val="32"/>
        </w:rPr>
        <w:t xml:space="preserve"> </w:t>
      </w:r>
      <w:r>
        <w:rPr>
          <w:rFonts w:ascii="Times New Roman" w:hAnsi="Times New Roman"/>
          <w:b/>
          <w:bCs/>
          <w:color w:val="000000"/>
          <w:sz w:val="32"/>
          <w:szCs w:val="32"/>
        </w:rPr>
        <w:t>A</w:t>
      </w:r>
      <w:r>
        <w:rPr>
          <w:rFonts w:ascii="Times New Roman" w:hAnsi="Times New Roman"/>
          <w:b/>
          <w:bCs/>
          <w:color w:val="000000"/>
          <w:spacing w:val="-1"/>
          <w:sz w:val="32"/>
          <w:szCs w:val="32"/>
        </w:rPr>
        <w:t xml:space="preserve"> </w:t>
      </w:r>
      <w:r>
        <w:rPr>
          <w:rFonts w:ascii="Times New Roman" w:hAnsi="Times New Roman"/>
          <w:b/>
          <w:bCs/>
          <w:color w:val="000000"/>
          <w:sz w:val="32"/>
          <w:szCs w:val="32"/>
        </w:rPr>
        <w:t>FEE</w:t>
      </w:r>
      <w:r>
        <w:rPr>
          <w:rFonts w:ascii="Times New Roman" w:hAnsi="Times New Roman"/>
          <w:b/>
          <w:bCs/>
          <w:color w:val="000000"/>
          <w:spacing w:val="-1"/>
          <w:sz w:val="32"/>
          <w:szCs w:val="32"/>
        </w:rPr>
        <w:t xml:space="preserve"> </w:t>
      </w:r>
      <w:r>
        <w:rPr>
          <w:rFonts w:ascii="Times New Roman" w:hAnsi="Times New Roman"/>
          <w:b/>
          <w:bCs/>
          <w:color w:val="000000"/>
          <w:sz w:val="32"/>
          <w:szCs w:val="32"/>
        </w:rPr>
        <w:t>TO BE</w:t>
      </w:r>
      <w:r>
        <w:rPr>
          <w:rFonts w:ascii="Times New Roman" w:hAnsi="Times New Roman"/>
          <w:b/>
          <w:bCs/>
          <w:color w:val="000000"/>
          <w:spacing w:val="-1"/>
          <w:sz w:val="32"/>
          <w:szCs w:val="32"/>
        </w:rPr>
        <w:t xml:space="preserve"> </w:t>
      </w:r>
      <w:r>
        <w:rPr>
          <w:rFonts w:ascii="Times New Roman" w:hAnsi="Times New Roman"/>
          <w:b/>
          <w:bCs/>
          <w:color w:val="000000"/>
          <w:sz w:val="32"/>
          <w:szCs w:val="32"/>
        </w:rPr>
        <w:t>PAID</w:t>
      </w:r>
      <w:r>
        <w:rPr>
          <w:rFonts w:ascii="Times New Roman" w:hAnsi="Times New Roman"/>
          <w:b/>
          <w:bCs/>
          <w:color w:val="000000"/>
          <w:spacing w:val="-1"/>
          <w:sz w:val="32"/>
          <w:szCs w:val="32"/>
        </w:rPr>
        <w:t xml:space="preserve"> </w:t>
      </w:r>
      <w:r>
        <w:rPr>
          <w:rFonts w:ascii="Times New Roman" w:hAnsi="Times New Roman"/>
          <w:b/>
          <w:bCs/>
          <w:color w:val="000000"/>
          <w:sz w:val="32"/>
          <w:szCs w:val="32"/>
        </w:rPr>
        <w:t>BY</w:t>
      </w:r>
      <w:r>
        <w:rPr>
          <w:rFonts w:ascii="Times New Roman" w:hAnsi="Times New Roman"/>
          <w:b/>
          <w:bCs/>
          <w:color w:val="000000"/>
          <w:spacing w:val="-1"/>
          <w:sz w:val="32"/>
          <w:szCs w:val="32"/>
        </w:rPr>
        <w:t xml:space="preserve"> </w:t>
      </w:r>
      <w:r>
        <w:rPr>
          <w:rFonts w:ascii="Times New Roman" w:hAnsi="Times New Roman"/>
          <w:b/>
          <w:bCs/>
          <w:color w:val="000000"/>
          <w:sz w:val="32"/>
          <w:szCs w:val="32"/>
        </w:rPr>
        <w:t>PATIENTS</w:t>
      </w:r>
      <w:r>
        <w:rPr>
          <w:rFonts w:ascii="Times New Roman" w:hAnsi="Times New Roman"/>
          <w:b/>
          <w:bCs/>
          <w:color w:val="000000"/>
          <w:spacing w:val="-1"/>
          <w:sz w:val="32"/>
          <w:szCs w:val="32"/>
        </w:rPr>
        <w:t xml:space="preserve"> </w:t>
      </w:r>
      <w:r>
        <w:rPr>
          <w:rFonts w:ascii="Times New Roman" w:hAnsi="Times New Roman"/>
          <w:b/>
          <w:bCs/>
          <w:color w:val="000000"/>
          <w:sz w:val="32"/>
          <w:szCs w:val="32"/>
        </w:rPr>
        <w:t>TO</w:t>
      </w:r>
      <w:r>
        <w:rPr>
          <w:rFonts w:ascii="Times New Roman" w:hAnsi="Times New Roman"/>
          <w:b/>
          <w:bCs/>
          <w:color w:val="000000"/>
          <w:spacing w:val="-1"/>
          <w:sz w:val="32"/>
          <w:szCs w:val="32"/>
        </w:rPr>
        <w:t xml:space="preserve"> </w:t>
      </w:r>
      <w:r>
        <w:rPr>
          <w:rFonts w:ascii="Times New Roman" w:hAnsi="Times New Roman"/>
          <w:b/>
          <w:bCs/>
          <w:color w:val="000000"/>
          <w:sz w:val="32"/>
          <w:szCs w:val="32"/>
        </w:rPr>
        <w:t>A</w:t>
      </w:r>
      <w:r>
        <w:rPr>
          <w:rFonts w:ascii="Times New Roman" w:hAnsi="Times New Roman"/>
          <w:b/>
          <w:bCs/>
          <w:color w:val="000000"/>
          <w:spacing w:val="1"/>
          <w:sz w:val="32"/>
          <w:szCs w:val="32"/>
        </w:rPr>
        <w:t>C</w:t>
      </w:r>
      <w:r>
        <w:rPr>
          <w:rFonts w:ascii="Times New Roman" w:hAnsi="Times New Roman"/>
          <w:b/>
          <w:bCs/>
          <w:color w:val="000000"/>
          <w:sz w:val="32"/>
          <w:szCs w:val="32"/>
        </w:rPr>
        <w:t>CESS MEDICARE HOME HEALTH SERVICES</w:t>
      </w:r>
    </w:p>
    <w:p w:rsidR="00524F69" w:rsidRDefault="00524F69" w:rsidP="00524F69">
      <w:pPr>
        <w:widowControl w:val="0"/>
        <w:autoSpaceDE w:val="0"/>
        <w:autoSpaceDN w:val="0"/>
        <w:adjustRightInd w:val="0"/>
        <w:spacing w:after="0" w:line="237" w:lineRule="auto"/>
        <w:ind w:left="120" w:right="56"/>
        <w:jc w:val="center"/>
        <w:rPr>
          <w:rFonts w:ascii="Times New Roman" w:hAnsi="Times New Roman"/>
          <w:b/>
          <w:bCs/>
          <w:color w:val="000000"/>
          <w:sz w:val="24"/>
          <w:szCs w:val="24"/>
        </w:rPr>
      </w:pPr>
    </w:p>
    <w:p w:rsidR="00F667B9" w:rsidRDefault="00F667B9" w:rsidP="00524F69">
      <w:pPr>
        <w:widowControl w:val="0"/>
        <w:autoSpaceDE w:val="0"/>
        <w:autoSpaceDN w:val="0"/>
        <w:adjustRightInd w:val="0"/>
        <w:spacing w:after="0" w:line="237" w:lineRule="auto"/>
        <w:ind w:left="120" w:right="56"/>
        <w:jc w:val="center"/>
        <w:rPr>
          <w:rFonts w:ascii="Times New Roman" w:hAnsi="Times New Roman"/>
          <w:b/>
          <w:bCs/>
          <w:color w:val="000000"/>
          <w:sz w:val="24"/>
          <w:szCs w:val="24"/>
        </w:rPr>
      </w:pPr>
    </w:p>
    <w:p w:rsidR="00524F69" w:rsidRDefault="00524F69" w:rsidP="00524F69">
      <w:pPr>
        <w:widowControl w:val="0"/>
        <w:autoSpaceDE w:val="0"/>
        <w:autoSpaceDN w:val="0"/>
        <w:adjustRightInd w:val="0"/>
        <w:spacing w:after="120" w:line="240" w:lineRule="auto"/>
        <w:rPr>
          <w:rFonts w:ascii="Times New Roman" w:hAnsi="Times New Roman"/>
          <w:b/>
          <w:sz w:val="24"/>
          <w:szCs w:val="24"/>
        </w:rPr>
      </w:pPr>
      <w:r>
        <w:rPr>
          <w:rFonts w:ascii="Times New Roman" w:hAnsi="Times New Roman"/>
          <w:b/>
          <w:sz w:val="24"/>
          <w:szCs w:val="24"/>
        </w:rPr>
        <w:t xml:space="preserve">Background:  </w:t>
      </w:r>
      <w:r>
        <w:rPr>
          <w:rFonts w:ascii="Times New Roman" w:hAnsi="Times New Roman"/>
          <w:bCs/>
          <w:sz w:val="24"/>
          <w:szCs w:val="24"/>
        </w:rPr>
        <w:t>Congress eliminated the home health copayment in 1972 for the very reasons that it should not be resurrected now.  The home health copayment in the 1960s and 1970s deterred Medicare beneficiaries from accessing home health care and instead created an incentive for more expensive institutional care</w:t>
      </w:r>
      <w:r w:rsidRPr="00D81170">
        <w:rPr>
          <w:rFonts w:ascii="Times New Roman" w:hAnsi="Times New Roman"/>
          <w:bCs/>
          <w:sz w:val="24"/>
          <w:szCs w:val="24"/>
        </w:rPr>
        <w:t>.</w:t>
      </w:r>
      <w:r>
        <w:rPr>
          <w:rStyle w:val="EndnoteReference"/>
          <w:rFonts w:ascii="Times New Roman" w:hAnsi="Times New Roman"/>
          <w:bCs/>
          <w:sz w:val="24"/>
          <w:szCs w:val="24"/>
        </w:rPr>
        <w:endnoteReference w:id="1"/>
      </w:r>
      <w:r w:rsidRPr="00D81170">
        <w:rPr>
          <w:rFonts w:ascii="Times New Roman" w:hAnsi="Times New Roman"/>
          <w:sz w:val="24"/>
          <w:szCs w:val="24"/>
        </w:rPr>
        <w:t xml:space="preserve"> </w:t>
      </w:r>
      <w:r>
        <w:rPr>
          <w:rFonts w:ascii="Times New Roman" w:hAnsi="Times New Roman"/>
          <w:sz w:val="24"/>
          <w:szCs w:val="24"/>
        </w:rPr>
        <w:t xml:space="preserve"> However, some policymakers have suggested adding copayments for Medicare home health services as a means of reducing the deficit </w:t>
      </w:r>
      <w:r w:rsidR="004C1436">
        <w:rPr>
          <w:rFonts w:ascii="Times New Roman" w:hAnsi="Times New Roman"/>
          <w:sz w:val="24"/>
          <w:szCs w:val="24"/>
        </w:rPr>
        <w:t xml:space="preserve">and/or offsetting the cost of fixing the Medicare physician payment formula (SGR). </w:t>
      </w:r>
      <w:r>
        <w:rPr>
          <w:rFonts w:ascii="Times New Roman" w:hAnsi="Times New Roman"/>
          <w:sz w:val="24"/>
          <w:szCs w:val="24"/>
        </w:rPr>
        <w:t xml:space="preserve">   </w:t>
      </w:r>
    </w:p>
    <w:p w:rsidR="00524F69" w:rsidRDefault="00524F69" w:rsidP="00524F69">
      <w:pPr>
        <w:widowControl w:val="0"/>
        <w:autoSpaceDE w:val="0"/>
        <w:autoSpaceDN w:val="0"/>
        <w:adjustRightInd w:val="0"/>
        <w:spacing w:after="120" w:line="240" w:lineRule="auto"/>
        <w:rPr>
          <w:rFonts w:ascii="Times New Roman" w:hAnsi="Times New Roman"/>
          <w:b/>
          <w:sz w:val="24"/>
          <w:szCs w:val="24"/>
        </w:rPr>
      </w:pPr>
      <w:r>
        <w:rPr>
          <w:rFonts w:ascii="Times New Roman" w:hAnsi="Times New Roman"/>
          <w:b/>
          <w:sz w:val="24"/>
          <w:szCs w:val="24"/>
        </w:rPr>
        <w:t xml:space="preserve">Recommendation: </w:t>
      </w:r>
      <w:r>
        <w:rPr>
          <w:rFonts w:ascii="Times New Roman" w:hAnsi="Times New Roman"/>
          <w:sz w:val="24"/>
          <w:szCs w:val="24"/>
        </w:rPr>
        <w:t>Congress should oppose any copay proposal for Medicare home health services</w:t>
      </w:r>
      <w:r w:rsidR="006B0540">
        <w:rPr>
          <w:rFonts w:ascii="Times New Roman" w:hAnsi="Times New Roman"/>
          <w:sz w:val="24"/>
          <w:szCs w:val="24"/>
        </w:rPr>
        <w:t xml:space="preserve">. </w:t>
      </w:r>
      <w:r>
        <w:rPr>
          <w:rFonts w:ascii="Times New Roman" w:hAnsi="Times New Roman"/>
          <w:bCs/>
          <w:sz w:val="24"/>
          <w:szCs w:val="24"/>
        </w:rPr>
        <w:t xml:space="preserve">Reinstating the copay today would directly conflict with the goal of Congress to modernize the Medicare program. </w:t>
      </w:r>
    </w:p>
    <w:p w:rsidR="00524F69" w:rsidRDefault="00524F69" w:rsidP="00524F69">
      <w:pPr>
        <w:widowControl w:val="0"/>
        <w:autoSpaceDE w:val="0"/>
        <w:autoSpaceDN w:val="0"/>
        <w:adjustRightInd w:val="0"/>
        <w:spacing w:after="120" w:line="240" w:lineRule="auto"/>
        <w:rPr>
          <w:rFonts w:ascii="Times New Roman" w:hAnsi="Times New Roman"/>
          <w:b/>
          <w:bCs/>
          <w:sz w:val="24"/>
          <w:szCs w:val="24"/>
        </w:rPr>
      </w:pPr>
      <w:r>
        <w:rPr>
          <w:rFonts w:ascii="Times New Roman" w:hAnsi="Times New Roman"/>
          <w:b/>
          <w:bCs/>
          <w:sz w:val="24"/>
          <w:szCs w:val="24"/>
        </w:rPr>
        <w:t>Rationale:</w:t>
      </w:r>
    </w:p>
    <w:p w:rsidR="00524F69" w:rsidRDefault="00524F69" w:rsidP="00524F69">
      <w:pPr>
        <w:widowControl w:val="0"/>
        <w:numPr>
          <w:ilvl w:val="0"/>
          <w:numId w:val="1"/>
        </w:numPr>
        <w:autoSpaceDE w:val="0"/>
        <w:autoSpaceDN w:val="0"/>
        <w:adjustRightInd w:val="0"/>
        <w:spacing w:after="120" w:line="240" w:lineRule="auto"/>
        <w:ind w:left="360" w:hanging="274"/>
        <w:rPr>
          <w:rFonts w:ascii="Times New Roman" w:hAnsi="Times New Roman"/>
          <w:b/>
          <w:bCs/>
          <w:sz w:val="24"/>
          <w:szCs w:val="24"/>
        </w:rPr>
      </w:pPr>
      <w:r>
        <w:rPr>
          <w:rFonts w:ascii="Times New Roman" w:hAnsi="Times New Roman"/>
          <w:b/>
          <w:bCs/>
          <w:sz w:val="24"/>
          <w:szCs w:val="24"/>
        </w:rPr>
        <w:t>Home health copayments would create a significant  barrier for those in need of home care, lead to increased use of more costly institutio</w:t>
      </w:r>
      <w:r w:rsidR="0066737A">
        <w:rPr>
          <w:rFonts w:ascii="Times New Roman" w:hAnsi="Times New Roman"/>
          <w:b/>
          <w:bCs/>
          <w:sz w:val="24"/>
          <w:szCs w:val="24"/>
        </w:rPr>
        <w:t xml:space="preserve">nal care, and increase Medicare </w:t>
      </w:r>
      <w:r>
        <w:rPr>
          <w:rFonts w:ascii="Times New Roman" w:hAnsi="Times New Roman"/>
          <w:b/>
          <w:bCs/>
          <w:sz w:val="24"/>
          <w:szCs w:val="24"/>
        </w:rPr>
        <w:t xml:space="preserve">spending overall.  </w:t>
      </w:r>
      <w:r>
        <w:rPr>
          <w:rFonts w:ascii="Times New Roman" w:hAnsi="Times New Roman"/>
          <w:sz w:val="24"/>
          <w:szCs w:val="24"/>
        </w:rPr>
        <w:t>The Urban Institute’s Health Policy Center found that home health copays “…would fall on the home health users with the highest Medicare expenses and the worst health status, who appear to be using home health in lieu of more expensive nursing facility stays.”</w:t>
      </w:r>
      <w:r>
        <w:rPr>
          <w:rStyle w:val="EndnoteReference"/>
          <w:rFonts w:ascii="Times New Roman" w:hAnsi="Times New Roman"/>
          <w:sz w:val="24"/>
          <w:szCs w:val="24"/>
        </w:rPr>
        <w:endnoteReference w:id="2"/>
      </w:r>
      <w:r>
        <w:rPr>
          <w:rFonts w:ascii="Times New Roman" w:hAnsi="Times New Roman"/>
          <w:sz w:val="24"/>
          <w:szCs w:val="24"/>
        </w:rPr>
        <w:t xml:space="preserve">  Similarly, a study in the </w:t>
      </w:r>
      <w:r>
        <w:rPr>
          <w:rFonts w:ascii="Times New Roman" w:hAnsi="Times New Roman"/>
          <w:i/>
          <w:sz w:val="24"/>
          <w:szCs w:val="24"/>
        </w:rPr>
        <w:t>New England Journal of Medicine</w:t>
      </w:r>
      <w:r>
        <w:rPr>
          <w:rFonts w:ascii="Times New Roman" w:hAnsi="Times New Roman"/>
          <w:sz w:val="24"/>
          <w:szCs w:val="24"/>
        </w:rPr>
        <w:t xml:space="preserve"> found that increasing copays on ambulatory care decreased outpatient visits, leading to increased acute care and hospitalizations, worse outcomes, and greater expense.</w:t>
      </w:r>
      <w:r>
        <w:rPr>
          <w:rStyle w:val="EndnoteReference"/>
          <w:rFonts w:ascii="Times New Roman" w:hAnsi="Times New Roman"/>
          <w:sz w:val="24"/>
          <w:szCs w:val="24"/>
        </w:rPr>
        <w:endnoteReference w:id="3"/>
      </w:r>
      <w:r>
        <w:rPr>
          <w:rFonts w:ascii="Times New Roman" w:hAnsi="Times New Roman"/>
          <w:sz w:val="24"/>
          <w:szCs w:val="24"/>
        </w:rPr>
        <w:t xml:space="preserve">  The same adverse health consequences and more costly acute care and hospitalizations would likely result from the imposition of a home health copay. The National Association of Insurance Commissioners (NAIC) concluded that beneficiaries, in response to increased cost sharing, “may avoid necessary services in the short term that may result in worsening health and a need for more intensive care and higher costs for Medicare in the long term.”</w:t>
      </w:r>
      <w:r>
        <w:rPr>
          <w:rStyle w:val="EndnoteReference"/>
          <w:rFonts w:ascii="Times New Roman" w:hAnsi="Times New Roman"/>
          <w:sz w:val="24"/>
          <w:szCs w:val="24"/>
        </w:rPr>
        <w:endnoteReference w:id="4"/>
      </w:r>
      <w:r>
        <w:rPr>
          <w:rFonts w:ascii="Times New Roman" w:hAnsi="Times New Roman"/>
          <w:sz w:val="24"/>
          <w:szCs w:val="24"/>
        </w:rPr>
        <w:t xml:space="preserve"> According to an analysis by </w:t>
      </w:r>
      <w:proofErr w:type="spellStart"/>
      <w:r>
        <w:rPr>
          <w:rFonts w:ascii="Times New Roman" w:hAnsi="Times New Roman"/>
          <w:sz w:val="24"/>
          <w:szCs w:val="24"/>
        </w:rPr>
        <w:t>Avalere</w:t>
      </w:r>
      <w:proofErr w:type="spellEnd"/>
      <w:r>
        <w:rPr>
          <w:rFonts w:ascii="Times New Roman" w:hAnsi="Times New Roman"/>
          <w:sz w:val="24"/>
          <w:szCs w:val="24"/>
        </w:rPr>
        <w:t>, a home health copayment could increase Medicare hospital inpatient spending by $6-13 billion over ten years.</w:t>
      </w:r>
      <w:r>
        <w:rPr>
          <w:rStyle w:val="EndnoteReference"/>
          <w:rFonts w:ascii="Times New Roman" w:hAnsi="Times New Roman"/>
          <w:sz w:val="24"/>
          <w:szCs w:val="24"/>
        </w:rPr>
        <w:endnoteReference w:id="5"/>
      </w:r>
    </w:p>
    <w:p w:rsidR="00524F69" w:rsidRDefault="00524F69" w:rsidP="00524F69">
      <w:pPr>
        <w:widowControl w:val="0"/>
        <w:numPr>
          <w:ilvl w:val="0"/>
          <w:numId w:val="1"/>
        </w:numPr>
        <w:autoSpaceDE w:val="0"/>
        <w:autoSpaceDN w:val="0"/>
        <w:adjustRightInd w:val="0"/>
        <w:spacing w:after="120" w:line="240" w:lineRule="auto"/>
        <w:ind w:left="360" w:hanging="274"/>
        <w:rPr>
          <w:rFonts w:ascii="Times New Roman" w:hAnsi="Times New Roman"/>
          <w:b/>
          <w:bCs/>
          <w:sz w:val="24"/>
          <w:szCs w:val="24"/>
        </w:rPr>
      </w:pPr>
      <w:r>
        <w:rPr>
          <w:rFonts w:ascii="Times New Roman" w:hAnsi="Times New Roman"/>
          <w:b/>
          <w:bCs/>
          <w:sz w:val="24"/>
          <w:szCs w:val="24"/>
        </w:rPr>
        <w:t xml:space="preserve">Copayments are an inefficient and regressive “sick tax” that would fall most heavily on the most vulnerable—the oldest, sickest, and poorest Medicare beneficiaries.  </w:t>
      </w:r>
      <w:r>
        <w:rPr>
          <w:rFonts w:ascii="Times New Roman" w:hAnsi="Times New Roman"/>
          <w:sz w:val="24"/>
          <w:szCs w:val="24"/>
        </w:rPr>
        <w:t>About 86 percent of home health users are age 65 or older, 63 percent 75 or older, and nearly 30 percent 85 or older. Sixty-three percent are women.</w:t>
      </w:r>
      <w:r>
        <w:rPr>
          <w:rStyle w:val="EndnoteReference"/>
          <w:rFonts w:ascii="Times New Roman" w:hAnsi="Times New Roman"/>
          <w:sz w:val="24"/>
          <w:szCs w:val="24"/>
        </w:rPr>
        <w:endnoteReference w:id="6"/>
      </w:r>
      <w:r>
        <w:rPr>
          <w:rFonts w:ascii="Times New Roman" w:hAnsi="Times New Roman"/>
          <w:sz w:val="24"/>
          <w:szCs w:val="24"/>
        </w:rPr>
        <w:t xml:space="preserve"> Home health users are poorer on average than the Medicare population as a whole. Home health users have more limitations </w:t>
      </w:r>
      <w:r>
        <w:rPr>
          <w:rFonts w:ascii="Times New Roman" w:hAnsi="Times New Roman"/>
          <w:sz w:val="24"/>
          <w:szCs w:val="24"/>
        </w:rPr>
        <w:lastRenderedPageBreak/>
        <w:t>in one or more activities of daily living than beneficiaries in general.</w:t>
      </w:r>
      <w:r>
        <w:rPr>
          <w:rStyle w:val="EndnoteReference"/>
          <w:rFonts w:ascii="Times New Roman" w:hAnsi="Times New Roman"/>
          <w:sz w:val="24"/>
          <w:szCs w:val="24"/>
        </w:rPr>
        <w:endnoteReference w:id="7"/>
      </w:r>
      <w:r>
        <w:rPr>
          <w:rFonts w:ascii="Times New Roman" w:hAnsi="Times New Roman"/>
          <w:sz w:val="24"/>
          <w:szCs w:val="24"/>
        </w:rPr>
        <w:t xml:space="preserve">  The Commonwealth Fund cautioned that “cost-sharing proposals, such as a copayment on Medicare home health services, could leave vulnerable beneficiaries at risk and place an inordinate burden on those who already face very high out-of-pocket costs.”</w:t>
      </w:r>
      <w:r>
        <w:rPr>
          <w:rStyle w:val="EndnoteReference"/>
          <w:rFonts w:ascii="Times New Roman" w:hAnsi="Times New Roman"/>
          <w:sz w:val="24"/>
          <w:szCs w:val="24"/>
        </w:rPr>
        <w:endnoteReference w:id="8"/>
      </w:r>
    </w:p>
    <w:p w:rsidR="00524F69" w:rsidRDefault="00524F69" w:rsidP="00524F69">
      <w:pPr>
        <w:keepNext/>
        <w:keepLines/>
        <w:numPr>
          <w:ilvl w:val="0"/>
          <w:numId w:val="1"/>
        </w:numPr>
        <w:autoSpaceDE w:val="0"/>
        <w:autoSpaceDN w:val="0"/>
        <w:adjustRightInd w:val="0"/>
        <w:spacing w:after="120" w:line="240" w:lineRule="auto"/>
        <w:ind w:left="360" w:hanging="274"/>
        <w:rPr>
          <w:rFonts w:ascii="Times New Roman" w:hAnsi="Times New Roman"/>
          <w:b/>
          <w:bCs/>
          <w:sz w:val="24"/>
          <w:szCs w:val="24"/>
        </w:rPr>
      </w:pPr>
      <w:r>
        <w:rPr>
          <w:rFonts w:ascii="Times New Roman" w:hAnsi="Times New Roman"/>
          <w:b/>
          <w:sz w:val="24"/>
          <w:szCs w:val="24"/>
        </w:rPr>
        <w:t xml:space="preserve">Most people with Medicare cannot afford to pay more.  </w:t>
      </w:r>
      <w:r>
        <w:rPr>
          <w:rFonts w:ascii="Times New Roman" w:hAnsi="Times New Roman"/>
          <w:sz w:val="24"/>
          <w:szCs w:val="24"/>
        </w:rPr>
        <w:t>In 2010, half of Medicare beneficiaries—about 25 million seniors and people with disabilities—lived on incomes below $22,000, just under 200 percent of the federal poverty level.</w:t>
      </w:r>
      <w:r w:rsidR="0066737A">
        <w:rPr>
          <w:rStyle w:val="EndnoteReference"/>
          <w:rFonts w:ascii="Times New Roman" w:hAnsi="Times New Roman"/>
          <w:sz w:val="24"/>
          <w:szCs w:val="24"/>
        </w:rPr>
        <w:endnoteReference w:id="9"/>
      </w:r>
      <w:r>
        <w:rPr>
          <w:rFonts w:ascii="Times New Roman" w:hAnsi="Times New Roman"/>
          <w:sz w:val="24"/>
          <w:szCs w:val="24"/>
        </w:rPr>
        <w:t xml:space="preserve"> Medicare households already spend on average 15 percent of their income on health care costs, three times as much as the non-Medicare population.</w:t>
      </w:r>
      <w:r w:rsidR="0066737A">
        <w:rPr>
          <w:rStyle w:val="EndnoteReference"/>
          <w:rFonts w:ascii="Times New Roman" w:hAnsi="Times New Roman"/>
          <w:sz w:val="24"/>
          <w:szCs w:val="24"/>
        </w:rPr>
        <w:endnoteReference w:id="10"/>
      </w:r>
    </w:p>
    <w:p w:rsidR="00524F69" w:rsidRDefault="00524F69" w:rsidP="00524F69">
      <w:pPr>
        <w:numPr>
          <w:ilvl w:val="0"/>
          <w:numId w:val="1"/>
        </w:numPr>
        <w:autoSpaceDE w:val="0"/>
        <w:autoSpaceDN w:val="0"/>
        <w:adjustRightInd w:val="0"/>
        <w:spacing w:after="120" w:line="240" w:lineRule="auto"/>
        <w:ind w:left="360" w:hanging="274"/>
        <w:rPr>
          <w:rFonts w:ascii="Times New Roman" w:hAnsi="Times New Roman"/>
          <w:b/>
          <w:bCs/>
          <w:sz w:val="24"/>
          <w:szCs w:val="24"/>
        </w:rPr>
      </w:pPr>
      <w:r>
        <w:rPr>
          <w:rFonts w:ascii="Times New Roman" w:hAnsi="Times New Roman"/>
          <w:b/>
          <w:bCs/>
          <w:sz w:val="24"/>
          <w:szCs w:val="24"/>
        </w:rPr>
        <w:t>Low-income beneficiaries are not protected against Medicare cost sharing.</w:t>
      </w:r>
      <w:r>
        <w:rPr>
          <w:rFonts w:ascii="Times New Roman" w:hAnsi="Times New Roman"/>
          <w:bCs/>
          <w:sz w:val="24"/>
          <w:szCs w:val="24"/>
        </w:rPr>
        <w:t xml:space="preserve"> Eligibility for assistance with Medicare cost sharing under the Qualified Medicare Beneficiary (QMB) program is limited to those with incomes below 100% of poverty ($11,412 for singles, $15,372 for couples) and non-housing assets below just $6,940 for singles and $10,410 for couples.  In sharp contrast, eligibility for cost sharing assistance for individuals under age 65 is set at 138% of poverty, with no asset test.  Even among Medicare beneficiaries eligible for QMB protection, only about one-third actually have it.</w:t>
      </w:r>
      <w:r w:rsidR="0066737A">
        <w:rPr>
          <w:rStyle w:val="EndnoteReference"/>
          <w:rFonts w:ascii="Times New Roman" w:hAnsi="Times New Roman"/>
          <w:bCs/>
          <w:sz w:val="24"/>
          <w:szCs w:val="24"/>
        </w:rPr>
        <w:endnoteReference w:id="11"/>
      </w:r>
    </w:p>
    <w:p w:rsidR="00524F69" w:rsidRDefault="00524F69" w:rsidP="00524F69">
      <w:pPr>
        <w:numPr>
          <w:ilvl w:val="0"/>
          <w:numId w:val="1"/>
        </w:numPr>
        <w:autoSpaceDE w:val="0"/>
        <w:autoSpaceDN w:val="0"/>
        <w:adjustRightInd w:val="0"/>
        <w:spacing w:after="120" w:line="240" w:lineRule="auto"/>
        <w:ind w:left="360" w:hanging="274"/>
        <w:rPr>
          <w:rFonts w:ascii="Times New Roman" w:hAnsi="Times New Roman"/>
          <w:b/>
          <w:bCs/>
          <w:sz w:val="24"/>
          <w:szCs w:val="24"/>
        </w:rPr>
      </w:pPr>
      <w:r>
        <w:rPr>
          <w:rFonts w:ascii="Times New Roman" w:hAnsi="Times New Roman"/>
          <w:b/>
          <w:bCs/>
          <w:sz w:val="24"/>
          <w:szCs w:val="24"/>
        </w:rPr>
        <w:t xml:space="preserve">Individuals receiving home care and their families already contribute to the cost of their home care. </w:t>
      </w:r>
      <w:r>
        <w:rPr>
          <w:rFonts w:ascii="Times New Roman" w:hAnsi="Times New Roman"/>
          <w:sz w:val="24"/>
          <w:szCs w:val="24"/>
        </w:rPr>
        <w:t>With hospital and nursing home care, Medicare pays for room and board, as well as for extensive custodial services. At home, these services are provided by family members or paid out-of-pocket by individuals without family support. Family members are frequently trained to render semi-skilled support services for home health care patients.  Family caregivers already have enormous physical, mental and financial burdens, providing an estimated $450 billion a year in unpaid care to their loved ones,</w:t>
      </w:r>
      <w:r w:rsidR="0066737A">
        <w:rPr>
          <w:rStyle w:val="EndnoteReference"/>
          <w:rFonts w:ascii="Times New Roman" w:hAnsi="Times New Roman"/>
          <w:sz w:val="24"/>
          <w:szCs w:val="24"/>
        </w:rPr>
        <w:endnoteReference w:id="12"/>
      </w:r>
      <w:r>
        <w:rPr>
          <w:rFonts w:ascii="Times New Roman" w:hAnsi="Times New Roman"/>
          <w:sz w:val="24"/>
          <w:szCs w:val="24"/>
        </w:rPr>
        <w:t xml:space="preserve"> and too frequently having to cut their work hours or quit their jobs. </w:t>
      </w:r>
    </w:p>
    <w:p w:rsidR="00524F69" w:rsidRDefault="00524F69" w:rsidP="00524F69">
      <w:pPr>
        <w:numPr>
          <w:ilvl w:val="0"/>
          <w:numId w:val="1"/>
        </w:numPr>
        <w:autoSpaceDE w:val="0"/>
        <w:autoSpaceDN w:val="0"/>
        <w:adjustRightInd w:val="0"/>
        <w:spacing w:after="120" w:line="240" w:lineRule="auto"/>
        <w:ind w:left="360" w:hanging="274"/>
        <w:rPr>
          <w:rFonts w:ascii="Times New Roman" w:hAnsi="Times New Roman"/>
          <w:b/>
          <w:bCs/>
          <w:sz w:val="24"/>
          <w:szCs w:val="24"/>
        </w:rPr>
      </w:pPr>
      <w:r>
        <w:rPr>
          <w:rFonts w:ascii="Times New Roman" w:hAnsi="Times New Roman"/>
          <w:b/>
          <w:bCs/>
          <w:sz w:val="24"/>
          <w:szCs w:val="24"/>
        </w:rPr>
        <w:t xml:space="preserve">Copayments as a means of reducing utilization would be particularly inappropriate for home health care.  </w:t>
      </w:r>
      <w:r>
        <w:rPr>
          <w:rFonts w:ascii="Times New Roman" w:hAnsi="Times New Roman"/>
          <w:bCs/>
          <w:sz w:val="24"/>
          <w:szCs w:val="24"/>
        </w:rPr>
        <w:t xml:space="preserve">Beneficiaries do not “order” home health care for themselves.  Services are ordered by a physician who must certify that services are medically necessary, that beneficiaries are homebound and meet other stringent standards.  There is no evidence of systemic overutilization.  Adjusted for inflation, home health spending on a per patient basis and overall Medicare spending on home health is less today than in 1997. </w:t>
      </w:r>
      <w:r>
        <w:rPr>
          <w:rFonts w:ascii="Times New Roman" w:hAnsi="Times New Roman"/>
          <w:sz w:val="24"/>
          <w:szCs w:val="24"/>
        </w:rPr>
        <w:t>The Medicare home health benefit has dropped from 9.5 percent of Medicare spending in 1997 to 5.9 percent and serves a smaller proportion of Medicare beneficiaries today than in 1997.</w:t>
      </w:r>
      <w:r w:rsidR="0066737A">
        <w:rPr>
          <w:rStyle w:val="EndnoteReference"/>
          <w:rFonts w:ascii="Times New Roman" w:hAnsi="Times New Roman"/>
          <w:sz w:val="24"/>
          <w:szCs w:val="24"/>
        </w:rPr>
        <w:endnoteReference w:id="13"/>
      </w:r>
    </w:p>
    <w:p w:rsidR="00524F69" w:rsidRDefault="00524F69" w:rsidP="00524F69">
      <w:pPr>
        <w:widowControl w:val="0"/>
        <w:numPr>
          <w:ilvl w:val="0"/>
          <w:numId w:val="1"/>
        </w:numPr>
        <w:autoSpaceDE w:val="0"/>
        <w:autoSpaceDN w:val="0"/>
        <w:adjustRightInd w:val="0"/>
        <w:spacing w:after="120" w:line="240" w:lineRule="auto"/>
        <w:ind w:left="360" w:hanging="274"/>
        <w:rPr>
          <w:rFonts w:ascii="Times New Roman" w:hAnsi="Times New Roman"/>
          <w:b/>
          <w:bCs/>
          <w:sz w:val="24"/>
          <w:szCs w:val="24"/>
        </w:rPr>
      </w:pPr>
      <w:r>
        <w:rPr>
          <w:rFonts w:ascii="Times New Roman" w:hAnsi="Times New Roman"/>
          <w:b/>
          <w:bCs/>
          <w:sz w:val="24"/>
          <w:szCs w:val="24"/>
        </w:rPr>
        <w:t xml:space="preserve">Home health copayments would shift costs to the states.  </w:t>
      </w:r>
      <w:r>
        <w:rPr>
          <w:rFonts w:ascii="Times New Roman" w:hAnsi="Times New Roman"/>
          <w:sz w:val="24"/>
          <w:szCs w:val="24"/>
        </w:rPr>
        <w:t xml:space="preserve">About 15 percent of Medicare beneficiaries receive Medicaid. Studies have shown that an even larger proportion (estimated to be about 25 percent by </w:t>
      </w:r>
      <w:proofErr w:type="spellStart"/>
      <w:r>
        <w:rPr>
          <w:rFonts w:ascii="Times New Roman" w:hAnsi="Times New Roman"/>
          <w:sz w:val="24"/>
          <w:szCs w:val="24"/>
        </w:rPr>
        <w:t>MedPAC</w:t>
      </w:r>
      <w:proofErr w:type="spellEnd"/>
      <w:r>
        <w:rPr>
          <w:rFonts w:ascii="Times New Roman" w:hAnsi="Times New Roman"/>
          <w:sz w:val="24"/>
          <w:szCs w:val="24"/>
        </w:rPr>
        <w:t>) of Medicare home health beneficiaries are eligible for Medicaid. A home health copayment would shift significant costs to states that are struggling to pay for their existing Medicaid programs.</w:t>
      </w:r>
      <w:r>
        <w:rPr>
          <w:rFonts w:ascii="Times New Roman" w:hAnsi="Times New Roman"/>
          <w:b/>
          <w:bCs/>
          <w:sz w:val="24"/>
          <w:szCs w:val="24"/>
        </w:rPr>
        <w:t xml:space="preserve"> </w:t>
      </w:r>
      <w:r>
        <w:rPr>
          <w:rFonts w:ascii="Times New Roman" w:hAnsi="Times New Roman"/>
          <w:bCs/>
          <w:sz w:val="24"/>
          <w:szCs w:val="24"/>
        </w:rPr>
        <w:t xml:space="preserve"> In addition, states would have to pick up their Medicaid share of new QMB assistance obligations. </w:t>
      </w:r>
    </w:p>
    <w:p w:rsidR="00524F69" w:rsidRDefault="00524F69" w:rsidP="00524F69">
      <w:pPr>
        <w:widowControl w:val="0"/>
        <w:numPr>
          <w:ilvl w:val="0"/>
          <w:numId w:val="1"/>
        </w:numPr>
        <w:autoSpaceDE w:val="0"/>
        <w:autoSpaceDN w:val="0"/>
        <w:adjustRightInd w:val="0"/>
        <w:spacing w:after="120" w:line="240" w:lineRule="auto"/>
        <w:ind w:left="360" w:hanging="274"/>
        <w:rPr>
          <w:rFonts w:ascii="Times New Roman" w:hAnsi="Times New Roman"/>
          <w:b/>
          <w:bCs/>
          <w:sz w:val="24"/>
          <w:szCs w:val="24"/>
        </w:rPr>
      </w:pPr>
      <w:r>
        <w:rPr>
          <w:rFonts w:ascii="Times New Roman" w:hAnsi="Times New Roman"/>
          <w:b/>
          <w:bCs/>
          <w:sz w:val="24"/>
          <w:szCs w:val="24"/>
        </w:rPr>
        <w:t xml:space="preserve">Medicare supplemental insurance cannot be relied upon to cover home health copays.  </w:t>
      </w:r>
      <w:r>
        <w:rPr>
          <w:rFonts w:ascii="Times New Roman" w:hAnsi="Times New Roman"/>
          <w:bCs/>
          <w:sz w:val="24"/>
          <w:szCs w:val="24"/>
        </w:rPr>
        <w:t xml:space="preserve">There is no requirement that all </w:t>
      </w:r>
      <w:proofErr w:type="spellStart"/>
      <w:r>
        <w:rPr>
          <w:rFonts w:ascii="Times New Roman" w:hAnsi="Times New Roman"/>
          <w:bCs/>
          <w:sz w:val="24"/>
          <w:szCs w:val="24"/>
        </w:rPr>
        <w:t>Medigap</w:t>
      </w:r>
      <w:proofErr w:type="spellEnd"/>
      <w:r>
        <w:rPr>
          <w:rFonts w:ascii="Times New Roman" w:hAnsi="Times New Roman"/>
          <w:bCs/>
          <w:sz w:val="24"/>
          <w:szCs w:val="24"/>
        </w:rPr>
        <w:t xml:space="preserve"> policies cover a home health copay and only</w:t>
      </w:r>
      <w:r>
        <w:rPr>
          <w:rFonts w:ascii="Times New Roman" w:hAnsi="Times New Roman"/>
          <w:sz w:val="24"/>
          <w:szCs w:val="24"/>
        </w:rPr>
        <w:t xml:space="preserve"> 17 percent of Medicare beneficiaries have </w:t>
      </w:r>
      <w:proofErr w:type="spellStart"/>
      <w:r>
        <w:rPr>
          <w:rFonts w:ascii="Times New Roman" w:hAnsi="Times New Roman"/>
          <w:sz w:val="24"/>
          <w:szCs w:val="24"/>
        </w:rPr>
        <w:t>Medigap</w:t>
      </w:r>
      <w:proofErr w:type="spellEnd"/>
      <w:r>
        <w:rPr>
          <w:rFonts w:ascii="Times New Roman" w:hAnsi="Times New Roman"/>
          <w:sz w:val="24"/>
          <w:szCs w:val="24"/>
        </w:rPr>
        <w:t xml:space="preserve"> coverage. For the 34 percent of Medicare beneficiaries who have supplemental coverage from an employer sponsored plan, there is no assurance that these plans will be expanded to cover a home health copay or remain a viable </w:t>
      </w:r>
      <w:r>
        <w:rPr>
          <w:rFonts w:ascii="Times New Roman" w:hAnsi="Times New Roman"/>
          <w:sz w:val="24"/>
          <w:szCs w:val="24"/>
        </w:rPr>
        <w:lastRenderedPageBreak/>
        <w:t>option for beneficiaries, given the current trend of employers dropping or reducing retiree coverage.</w:t>
      </w:r>
      <w:r w:rsidR="0066737A">
        <w:rPr>
          <w:rStyle w:val="EndnoteReference"/>
          <w:rFonts w:ascii="Times New Roman" w:hAnsi="Times New Roman"/>
          <w:sz w:val="24"/>
          <w:szCs w:val="24"/>
        </w:rPr>
        <w:endnoteReference w:id="14"/>
      </w:r>
      <w:r>
        <w:rPr>
          <w:rFonts w:ascii="Times New Roman" w:hAnsi="Times New Roman"/>
          <w:sz w:val="24"/>
          <w:szCs w:val="24"/>
        </w:rPr>
        <w:t xml:space="preserve">  Likewise, the 25 percent of beneficiaries enrolled in Medicare Advantage (MA) plans would not be protected from a home health copay, as many MA plans have imposed home health copays even in the absence of a copay requirement under traditional Medicare.</w:t>
      </w:r>
    </w:p>
    <w:p w:rsidR="00524F69" w:rsidRPr="00223676" w:rsidRDefault="00524F69" w:rsidP="00524F69">
      <w:pPr>
        <w:widowControl w:val="0"/>
        <w:numPr>
          <w:ilvl w:val="0"/>
          <w:numId w:val="1"/>
        </w:numPr>
        <w:autoSpaceDE w:val="0"/>
        <w:autoSpaceDN w:val="0"/>
        <w:adjustRightInd w:val="0"/>
        <w:spacing w:after="0" w:line="240" w:lineRule="auto"/>
        <w:ind w:left="360" w:hanging="270"/>
        <w:contextualSpacing/>
        <w:rPr>
          <w:rFonts w:ascii="Times New Roman" w:hAnsi="Times New Roman"/>
          <w:b/>
          <w:bCs/>
          <w:sz w:val="24"/>
          <w:szCs w:val="24"/>
        </w:rPr>
      </w:pPr>
      <w:r>
        <w:rPr>
          <w:rFonts w:ascii="Times New Roman" w:hAnsi="Times New Roman"/>
          <w:b/>
          <w:bCs/>
          <w:sz w:val="24"/>
          <w:szCs w:val="24"/>
        </w:rPr>
        <w:t xml:space="preserve">Copayments would impose costly administrative burdens and increase Medicare costs.  </w:t>
      </w:r>
      <w:r>
        <w:rPr>
          <w:rFonts w:ascii="Times New Roman" w:hAnsi="Times New Roman"/>
          <w:sz w:val="24"/>
          <w:szCs w:val="24"/>
        </w:rPr>
        <w:t xml:space="preserve">Home health agencies would need to develop new accounting and billing procedures, create new software packages, and hire staff to send bills, post accounts receivable, and re-bill. </w:t>
      </w:r>
      <w:r>
        <w:rPr>
          <w:rFonts w:ascii="Times New Roman" w:hAnsi="Times New Roman"/>
          <w:bCs/>
          <w:sz w:val="24"/>
          <w:szCs w:val="24"/>
        </w:rPr>
        <w:t>Also, unlike hospitals, there is no provision for bad debt from uncollected copays currently built into the base payment for home health care.  Home health agencies cannot absorb these costs as nearly 50 percent of home health agencies are projected to be paid less than their costs by Medicare.  Overall home health agency margins from a combination of Medicare, Medicaid, Medicare Advantage and other payment sources average less than zero.</w:t>
      </w:r>
      <w:r w:rsidR="0066737A">
        <w:rPr>
          <w:rStyle w:val="EndnoteReference"/>
          <w:rFonts w:ascii="Times New Roman" w:hAnsi="Times New Roman"/>
          <w:bCs/>
          <w:sz w:val="24"/>
          <w:szCs w:val="24"/>
        </w:rPr>
        <w:endnoteReference w:id="15"/>
      </w:r>
    </w:p>
    <w:p w:rsidR="009223EC" w:rsidRDefault="00D00D80"/>
    <w:sectPr w:rsidR="009223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F69" w:rsidRDefault="00524F69" w:rsidP="00524F69">
      <w:pPr>
        <w:spacing w:after="0" w:line="240" w:lineRule="auto"/>
      </w:pPr>
      <w:r>
        <w:separator/>
      </w:r>
    </w:p>
  </w:endnote>
  <w:endnote w:type="continuationSeparator" w:id="0">
    <w:p w:rsidR="00524F69" w:rsidRDefault="00524F69" w:rsidP="00524F69">
      <w:pPr>
        <w:spacing w:after="0" w:line="240" w:lineRule="auto"/>
      </w:pPr>
      <w:r>
        <w:continuationSeparator/>
      </w:r>
    </w:p>
  </w:endnote>
  <w:endnote w:id="1">
    <w:p w:rsidR="00524F69" w:rsidRPr="00524F69" w:rsidRDefault="00524F69" w:rsidP="0066737A">
      <w:pPr>
        <w:pStyle w:val="EndnoteText"/>
        <w:spacing w:after="0"/>
      </w:pPr>
      <w:r>
        <w:rPr>
          <w:rStyle w:val="EndnoteReference"/>
        </w:rPr>
        <w:endnoteRef/>
      </w:r>
      <w:r>
        <w:t xml:space="preserve"> </w:t>
      </w:r>
      <w:r>
        <w:rPr>
          <w:i/>
        </w:rPr>
        <w:t>Congressional Record</w:t>
      </w:r>
      <w:r>
        <w:t>, October 5, 1972, p. 33939.</w:t>
      </w:r>
    </w:p>
  </w:endnote>
  <w:endnote w:id="2">
    <w:p w:rsidR="00524F69" w:rsidRDefault="00524F69" w:rsidP="0066737A">
      <w:pPr>
        <w:pStyle w:val="EndnoteText"/>
        <w:spacing w:after="0"/>
      </w:pPr>
      <w:r>
        <w:rPr>
          <w:rStyle w:val="EndnoteReference"/>
        </w:rPr>
        <w:endnoteRef/>
      </w:r>
      <w:r>
        <w:t xml:space="preserve"> Urban Institute Health Policy Center, “A Preliminary Examination of Key Differences in Medicare Savings Bills,” July 13, 1997.</w:t>
      </w:r>
    </w:p>
  </w:endnote>
  <w:endnote w:id="3">
    <w:p w:rsidR="00524F69" w:rsidRPr="00524F69" w:rsidRDefault="00524F69" w:rsidP="0066737A">
      <w:pPr>
        <w:pStyle w:val="EndnoteText"/>
        <w:spacing w:after="0"/>
      </w:pPr>
      <w:r>
        <w:rPr>
          <w:rStyle w:val="EndnoteReference"/>
        </w:rPr>
        <w:endnoteRef/>
      </w:r>
      <w:r>
        <w:t xml:space="preserve"> </w:t>
      </w:r>
      <w:proofErr w:type="spellStart"/>
      <w:r>
        <w:t>Trivedi</w:t>
      </w:r>
      <w:proofErr w:type="spellEnd"/>
      <w:r>
        <w:t xml:space="preserve">, </w:t>
      </w:r>
      <w:proofErr w:type="spellStart"/>
      <w:r>
        <w:t>Amal</w:t>
      </w:r>
      <w:proofErr w:type="spellEnd"/>
      <w:r>
        <w:t xml:space="preserve"> N., </w:t>
      </w:r>
      <w:proofErr w:type="spellStart"/>
      <w:r>
        <w:t>Husein</w:t>
      </w:r>
      <w:proofErr w:type="spellEnd"/>
      <w:r>
        <w:t xml:space="preserve"> </w:t>
      </w:r>
      <w:proofErr w:type="spellStart"/>
      <w:r>
        <w:t>Moloo</w:t>
      </w:r>
      <w:proofErr w:type="spellEnd"/>
      <w:r>
        <w:t xml:space="preserve"> and Vincent </w:t>
      </w:r>
      <w:proofErr w:type="spellStart"/>
      <w:r>
        <w:t>Mor</w:t>
      </w:r>
      <w:proofErr w:type="spellEnd"/>
      <w:r>
        <w:t xml:space="preserve">, “Increased Ambulatory Copayments and Hospitalizations among the Elderly,” </w:t>
      </w:r>
      <w:r>
        <w:rPr>
          <w:i/>
        </w:rPr>
        <w:t>New England Journal of Medicine</w:t>
      </w:r>
      <w:r>
        <w:t>, January 2010.</w:t>
      </w:r>
    </w:p>
  </w:endnote>
  <w:endnote w:id="4">
    <w:p w:rsidR="00524F69" w:rsidRDefault="00524F69" w:rsidP="0066737A">
      <w:pPr>
        <w:pStyle w:val="EndnoteText"/>
        <w:spacing w:after="0"/>
      </w:pPr>
      <w:r>
        <w:rPr>
          <w:rStyle w:val="EndnoteReference"/>
        </w:rPr>
        <w:endnoteRef/>
      </w:r>
      <w:r>
        <w:t xml:space="preserve"> National Association of Insurance Commissioners, Senior Issues Task Force, </w:t>
      </w:r>
      <w:proofErr w:type="spellStart"/>
      <w:r>
        <w:t>Medigap</w:t>
      </w:r>
      <w:proofErr w:type="spellEnd"/>
      <w:r>
        <w:t xml:space="preserve"> PPACA Subgroup, “Medicare Supplemental Insurance First Dollar Coverage and Cost Shares Discussion Paper” (October 2011).</w:t>
      </w:r>
    </w:p>
  </w:endnote>
  <w:endnote w:id="5">
    <w:p w:rsidR="00524F69" w:rsidRDefault="00524F69" w:rsidP="0066737A">
      <w:pPr>
        <w:pStyle w:val="EndnoteText"/>
        <w:spacing w:after="0"/>
      </w:pPr>
      <w:r>
        <w:rPr>
          <w:rStyle w:val="EndnoteReference"/>
        </w:rPr>
        <w:endnoteRef/>
      </w:r>
      <w:r>
        <w:t xml:space="preserve"> </w:t>
      </w:r>
      <w:proofErr w:type="spellStart"/>
      <w:r>
        <w:t>Avalere</w:t>
      </w:r>
      <w:proofErr w:type="spellEnd"/>
      <w:r>
        <w:t xml:space="preserve"> Health LLC, “Potential Impact of a Home Health Co-Payment on Other Medicare Spending,” July 12, 2011.</w:t>
      </w:r>
    </w:p>
  </w:endnote>
  <w:endnote w:id="6">
    <w:p w:rsidR="00524F69" w:rsidRDefault="00524F69" w:rsidP="0066737A">
      <w:pPr>
        <w:pStyle w:val="EndnoteText"/>
        <w:spacing w:after="0"/>
      </w:pPr>
      <w:r>
        <w:rPr>
          <w:rStyle w:val="EndnoteReference"/>
        </w:rPr>
        <w:endnoteRef/>
      </w:r>
      <w:r>
        <w:t xml:space="preserve"> CMS Office of Information Services, Medicare &amp; Medicaid Research Review/2011 Supplement, Table 7.2.</w:t>
      </w:r>
    </w:p>
  </w:endnote>
  <w:endnote w:id="7">
    <w:p w:rsidR="00524F69" w:rsidRDefault="00524F69" w:rsidP="0066737A">
      <w:pPr>
        <w:pStyle w:val="EndnoteText"/>
        <w:spacing w:after="0"/>
      </w:pPr>
      <w:r>
        <w:rPr>
          <w:rStyle w:val="EndnoteReference"/>
        </w:rPr>
        <w:endnoteRef/>
      </w:r>
      <w:r>
        <w:t xml:space="preserve"> </w:t>
      </w:r>
      <w:proofErr w:type="spellStart"/>
      <w:r>
        <w:t>Avalere</w:t>
      </w:r>
      <w:proofErr w:type="spellEnd"/>
      <w:r>
        <w:t xml:space="preserve"> Health LLC, “A Home Health Copayment: Affected Beneficiaries and Potential Impacts,” July 13, 2011.</w:t>
      </w:r>
    </w:p>
  </w:endnote>
  <w:endnote w:id="8">
    <w:p w:rsidR="00524F69" w:rsidRDefault="00524F69" w:rsidP="0066737A">
      <w:pPr>
        <w:pStyle w:val="EndnoteText"/>
        <w:spacing w:after="0"/>
      </w:pPr>
      <w:r>
        <w:rPr>
          <w:rStyle w:val="EndnoteReference"/>
        </w:rPr>
        <w:endnoteRef/>
      </w:r>
      <w:r>
        <w:t xml:space="preserve"> The Commonwealth fund, “One-Third At Risk: The Special Circumstances of Medicare Beneficiaries with Health Problems,” September 2001.</w:t>
      </w:r>
    </w:p>
  </w:endnote>
  <w:endnote w:id="9">
    <w:p w:rsidR="0066737A" w:rsidRDefault="0066737A" w:rsidP="0066737A">
      <w:pPr>
        <w:pStyle w:val="EndnoteText"/>
        <w:spacing w:after="0"/>
      </w:pPr>
      <w:r>
        <w:rPr>
          <w:rStyle w:val="EndnoteReference"/>
        </w:rPr>
        <w:endnoteRef/>
      </w:r>
      <w:r>
        <w:t xml:space="preserve"> “Medicare at a Glance,” Kaiser Family Foundation, November 2011.</w:t>
      </w:r>
    </w:p>
  </w:endnote>
  <w:endnote w:id="10">
    <w:p w:rsidR="0066737A" w:rsidRDefault="0066737A" w:rsidP="0066737A">
      <w:pPr>
        <w:pStyle w:val="EndnoteText"/>
        <w:spacing w:after="0"/>
      </w:pPr>
      <w:r>
        <w:rPr>
          <w:rStyle w:val="EndnoteReference"/>
        </w:rPr>
        <w:endnoteRef/>
      </w:r>
      <w:r>
        <w:t xml:space="preserve"> “Health Care on a Budget: The Financial Burden of Health Care Spending by Medicare households”—Kaiser Family Foundation.</w:t>
      </w:r>
    </w:p>
  </w:endnote>
  <w:endnote w:id="11">
    <w:p w:rsidR="0066737A" w:rsidRDefault="0066737A" w:rsidP="0066737A">
      <w:pPr>
        <w:pStyle w:val="EndnoteText"/>
        <w:spacing w:after="0"/>
      </w:pPr>
      <w:r>
        <w:rPr>
          <w:rStyle w:val="EndnoteReference"/>
        </w:rPr>
        <w:endnoteRef/>
      </w:r>
      <w:r>
        <w:t xml:space="preserve"> “Government Accountability Office, “Medicare Savings Programs: Implementation of Requirements Aimed at Increasing Enrollment,” GAO-12-871 (September 2012).</w:t>
      </w:r>
    </w:p>
  </w:endnote>
  <w:endnote w:id="12">
    <w:p w:rsidR="0066737A" w:rsidRDefault="0066737A" w:rsidP="0066737A">
      <w:pPr>
        <w:pStyle w:val="EndnoteText"/>
        <w:spacing w:after="0"/>
      </w:pPr>
      <w:r>
        <w:rPr>
          <w:rStyle w:val="EndnoteReference"/>
        </w:rPr>
        <w:endnoteRef/>
      </w:r>
      <w:r>
        <w:t xml:space="preserve"> L. Feinberg, S.C. </w:t>
      </w:r>
      <w:proofErr w:type="spellStart"/>
      <w:r>
        <w:t>Reinhard</w:t>
      </w:r>
      <w:proofErr w:type="spellEnd"/>
      <w:r>
        <w:t xml:space="preserve">, A. Houser, and R. </w:t>
      </w:r>
      <w:proofErr w:type="spellStart"/>
      <w:r>
        <w:t>Choula</w:t>
      </w:r>
      <w:proofErr w:type="spellEnd"/>
      <w:r>
        <w:t>, “Valuing the Invaluable: 2011 Update, the Growing Contributions and Costs of Family Caregiving,” AARP Public Policy Institute Insight on the Issues 51 (Washington, DC: AARP, June 2011).</w:t>
      </w:r>
    </w:p>
  </w:endnote>
  <w:endnote w:id="13">
    <w:p w:rsidR="0066737A" w:rsidRDefault="0066737A" w:rsidP="0066737A">
      <w:pPr>
        <w:pStyle w:val="EndnoteText"/>
        <w:spacing w:after="0"/>
      </w:pPr>
      <w:r>
        <w:rPr>
          <w:rStyle w:val="EndnoteReference"/>
        </w:rPr>
        <w:endnoteRef/>
      </w:r>
      <w:r>
        <w:t xml:space="preserve"> CMS Research, Statistics, Data, and Systems/Statistics, Trends and Reports, Medicare Medicaid Stat </w:t>
      </w:r>
      <w:proofErr w:type="spellStart"/>
      <w:r>
        <w:t>Supp</w:t>
      </w:r>
      <w:proofErr w:type="spellEnd"/>
      <w:r>
        <w:t>/2011 (Tables 3.1 and 7.1).</w:t>
      </w:r>
    </w:p>
  </w:endnote>
  <w:endnote w:id="14">
    <w:p w:rsidR="0066737A" w:rsidRDefault="0066737A" w:rsidP="0066737A">
      <w:pPr>
        <w:pStyle w:val="EndnoteText"/>
        <w:spacing w:after="0"/>
      </w:pPr>
      <w:r>
        <w:rPr>
          <w:rStyle w:val="EndnoteReference"/>
        </w:rPr>
        <w:endnoteRef/>
      </w:r>
      <w:r>
        <w:t xml:space="preserve"> Kaiser Family Foundation, “Examining Sources of Supplemental Insurance and Prescription Drug Coverage Among Medicare Beneficiaries: Finding from the Medicare Current Beneficiary Survey, 2007,” August 2009.</w:t>
      </w:r>
    </w:p>
  </w:endnote>
  <w:endnote w:id="15">
    <w:p w:rsidR="0066737A" w:rsidRDefault="0066737A" w:rsidP="0066737A">
      <w:pPr>
        <w:pStyle w:val="EndnoteText"/>
        <w:spacing w:after="0"/>
      </w:pPr>
      <w:r>
        <w:rPr>
          <w:rStyle w:val="EndnoteReference"/>
        </w:rPr>
        <w:endnoteRef/>
      </w:r>
      <w:r>
        <w:t xml:space="preserve"> National Association for Home Care &amp; Hospice (NAHC) Cost Report Data Compendium, Updated 2012.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F69" w:rsidRDefault="00524F69" w:rsidP="00524F69">
      <w:pPr>
        <w:spacing w:after="0" w:line="240" w:lineRule="auto"/>
      </w:pPr>
      <w:r>
        <w:separator/>
      </w:r>
    </w:p>
  </w:footnote>
  <w:footnote w:type="continuationSeparator" w:id="0">
    <w:p w:rsidR="00524F69" w:rsidRDefault="00524F69" w:rsidP="00524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B27E4"/>
    <w:multiLevelType w:val="hybridMultilevel"/>
    <w:tmpl w:val="0F50D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B4C43DF"/>
    <w:multiLevelType w:val="hybridMultilevel"/>
    <w:tmpl w:val="699ADAE6"/>
    <w:lvl w:ilvl="0" w:tplc="48F2F89E">
      <w:start w:val="1"/>
      <w:numFmt w:val="lowerRoman"/>
      <w:lvlText w:val="%1."/>
      <w:lvlJc w:val="right"/>
      <w:pPr>
        <w:ind w:left="720" w:hanging="360"/>
      </w:pPr>
      <w:rPr>
        <w:rFonts w:ascii="Times New Roman" w:hAnsi="Times New Roman" w:cs="Times New Roman" w:hint="default"/>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69"/>
    <w:rsid w:val="002745CD"/>
    <w:rsid w:val="004C1436"/>
    <w:rsid w:val="00524F69"/>
    <w:rsid w:val="005E4F4A"/>
    <w:rsid w:val="0066737A"/>
    <w:rsid w:val="006B0540"/>
    <w:rsid w:val="00781B99"/>
    <w:rsid w:val="00A761EA"/>
    <w:rsid w:val="00D00D80"/>
    <w:rsid w:val="00D36B8A"/>
    <w:rsid w:val="00F667B9"/>
    <w:rsid w:val="00FC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F6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24F69"/>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524F69"/>
    <w:rPr>
      <w:rFonts w:ascii="Times New Roman" w:eastAsia="Times New Roman" w:hAnsi="Times New Roman" w:cs="Times New Roman"/>
      <w:sz w:val="20"/>
      <w:szCs w:val="20"/>
    </w:rPr>
  </w:style>
  <w:style w:type="character" w:styleId="EndnoteReference">
    <w:name w:val="endnote reference"/>
    <w:uiPriority w:val="99"/>
    <w:semiHidden/>
    <w:unhideWhenUsed/>
    <w:rsid w:val="00524F69"/>
    <w:rPr>
      <w:vertAlign w:val="superscript"/>
    </w:rPr>
  </w:style>
  <w:style w:type="paragraph" w:styleId="BalloonText">
    <w:name w:val="Balloon Text"/>
    <w:basedOn w:val="Normal"/>
    <w:link w:val="BalloonTextChar"/>
    <w:uiPriority w:val="99"/>
    <w:semiHidden/>
    <w:unhideWhenUsed/>
    <w:rsid w:val="00667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37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F6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24F69"/>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524F69"/>
    <w:rPr>
      <w:rFonts w:ascii="Times New Roman" w:eastAsia="Times New Roman" w:hAnsi="Times New Roman" w:cs="Times New Roman"/>
      <w:sz w:val="20"/>
      <w:szCs w:val="20"/>
    </w:rPr>
  </w:style>
  <w:style w:type="character" w:styleId="EndnoteReference">
    <w:name w:val="endnote reference"/>
    <w:uiPriority w:val="99"/>
    <w:semiHidden/>
    <w:unhideWhenUsed/>
    <w:rsid w:val="00524F69"/>
    <w:rPr>
      <w:vertAlign w:val="superscript"/>
    </w:rPr>
  </w:style>
  <w:style w:type="paragraph" w:styleId="BalloonText">
    <w:name w:val="Balloon Text"/>
    <w:basedOn w:val="Normal"/>
    <w:link w:val="BalloonTextChar"/>
    <w:uiPriority w:val="99"/>
    <w:semiHidden/>
    <w:unhideWhenUsed/>
    <w:rsid w:val="00667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37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6E627-EEDA-4681-9431-5D990C1AA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Nelson</dc:creator>
  <cp:lastModifiedBy>Jeffrey Kincheloe</cp:lastModifiedBy>
  <cp:revision>2</cp:revision>
  <cp:lastPrinted>2013-10-14T14:43:00Z</cp:lastPrinted>
  <dcterms:created xsi:type="dcterms:W3CDTF">2013-10-14T15:05:00Z</dcterms:created>
  <dcterms:modified xsi:type="dcterms:W3CDTF">2013-10-14T15:05:00Z</dcterms:modified>
</cp:coreProperties>
</file>